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0C" w:rsidRDefault="00131A0C"/>
    <w:p w:rsidR="00853737" w:rsidRDefault="00853737"/>
    <w:p w:rsidR="00853737" w:rsidRDefault="00853737" w:rsidP="00853737">
      <w:pPr>
        <w:ind w:firstLine="851"/>
        <w:jc w:val="center"/>
        <w:rPr>
          <w:rStyle w:val="FontStyle12"/>
          <w:rFonts w:eastAsiaTheme="minorEastAsia"/>
          <w:b/>
          <w:sz w:val="28"/>
          <w:szCs w:val="28"/>
          <w:lang w:eastAsia="ru-RU"/>
        </w:rPr>
      </w:pPr>
      <w:r w:rsidRPr="00E84A8C">
        <w:rPr>
          <w:rStyle w:val="FontStyle12"/>
          <w:rFonts w:eastAsiaTheme="minorEastAsia"/>
          <w:b/>
          <w:sz w:val="28"/>
          <w:szCs w:val="28"/>
          <w:lang w:eastAsia="ru-RU"/>
        </w:rPr>
        <w:t xml:space="preserve">Порядок оказания услуги </w:t>
      </w:r>
    </w:p>
    <w:p w:rsidR="00853737" w:rsidRPr="00E84A8C" w:rsidRDefault="00853737" w:rsidP="00853737">
      <w:pPr>
        <w:ind w:firstLine="851"/>
        <w:jc w:val="center"/>
        <w:rPr>
          <w:rStyle w:val="FontStyle12"/>
          <w:rFonts w:eastAsiaTheme="minorEastAsia"/>
          <w:b/>
          <w:sz w:val="28"/>
          <w:szCs w:val="28"/>
          <w:lang w:eastAsia="ru-RU"/>
        </w:rPr>
      </w:pPr>
      <w:r w:rsidRPr="00E84A8C">
        <w:rPr>
          <w:rStyle w:val="FontStyle12"/>
          <w:rFonts w:eastAsiaTheme="minorEastAsia"/>
          <w:b/>
          <w:sz w:val="28"/>
          <w:szCs w:val="28"/>
          <w:lang w:eastAsia="ru-RU"/>
        </w:rPr>
        <w:t>по тарифным планам линейки «Доступ к ВОЛС»</w:t>
      </w:r>
    </w:p>
    <w:p w:rsidR="00853737" w:rsidRPr="00DB7738" w:rsidRDefault="00853737" w:rsidP="00853737">
      <w:pPr>
        <w:ind w:firstLine="851"/>
        <w:jc w:val="both"/>
        <w:rPr>
          <w:sz w:val="24"/>
          <w:szCs w:val="24"/>
        </w:rPr>
      </w:pPr>
    </w:p>
    <w:p w:rsidR="00853737" w:rsidRPr="00DB7738" w:rsidRDefault="00853737" w:rsidP="008537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B7738">
        <w:rPr>
          <w:rFonts w:ascii="Times New Roman" w:hAnsi="Times New Roman"/>
          <w:sz w:val="24"/>
          <w:szCs w:val="24"/>
        </w:rPr>
        <w:t>Термины и определения </w:t>
      </w:r>
    </w:p>
    <w:p w:rsidR="00853737" w:rsidRPr="00DB7738" w:rsidRDefault="00853737" w:rsidP="0085373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37" w:rsidRPr="00DB7738" w:rsidRDefault="00853737" w:rsidP="00853737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DB7738">
        <w:rPr>
          <w:rFonts w:ascii="Times New Roman" w:hAnsi="Times New Roman"/>
          <w:b/>
          <w:sz w:val="24"/>
          <w:szCs w:val="24"/>
        </w:rPr>
        <w:t>«Доступ к ВОЛС»</w:t>
      </w:r>
      <w:r w:rsidRPr="00DB7738">
        <w:rPr>
          <w:rFonts w:ascii="Times New Roman" w:hAnsi="Times New Roman"/>
          <w:sz w:val="24"/>
          <w:szCs w:val="24"/>
        </w:rPr>
        <w:t xml:space="preserve"> – услуга по предоставлению в пользование клиенту </w:t>
      </w:r>
      <w:r w:rsidRPr="00DB7738">
        <w:rPr>
          <w:rFonts w:ascii="Ubuntu" w:hAnsi="Ubuntu"/>
          <w:color w:val="000000"/>
          <w:sz w:val="24"/>
          <w:szCs w:val="24"/>
          <w:shd w:val="clear" w:color="auto" w:fill="FFFFFF"/>
        </w:rPr>
        <w:t>волоконно-оптических линий связи.</w:t>
      </w:r>
      <w:r w:rsidRPr="00DB7738">
        <w:rPr>
          <w:rFonts w:ascii="Times New Roman" w:hAnsi="Times New Roman"/>
          <w:sz w:val="24"/>
          <w:szCs w:val="24"/>
        </w:rPr>
        <w:t xml:space="preserve">  </w:t>
      </w:r>
    </w:p>
    <w:p w:rsidR="00853737" w:rsidRPr="00DB7738" w:rsidRDefault="00853737" w:rsidP="00853737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DB7738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Pr="00DB7738">
        <w:rPr>
          <w:rFonts w:ascii="Times New Roman" w:hAnsi="Times New Roman"/>
          <w:sz w:val="24"/>
          <w:szCs w:val="24"/>
        </w:rPr>
        <w:t>– календарный месяц, в течение которого Компания обязуется оказывать услуги Клиенту.</w:t>
      </w:r>
    </w:p>
    <w:p w:rsidR="00853737" w:rsidRPr="00DB7738" w:rsidRDefault="00853737" w:rsidP="008537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3737" w:rsidRPr="00DB7738" w:rsidRDefault="00853737" w:rsidP="008537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B7738">
        <w:rPr>
          <w:rFonts w:ascii="Times New Roman" w:hAnsi="Times New Roman"/>
          <w:sz w:val="24"/>
          <w:szCs w:val="24"/>
        </w:rPr>
        <w:t>В рамках доступа к ВОЛС доступны для подключения следующие услуги: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5595"/>
        <w:gridCol w:w="2904"/>
      </w:tblGrid>
      <w:tr w:rsidR="00853737" w:rsidRPr="00DB7738" w:rsidTr="00157FF5">
        <w:tc>
          <w:tcPr>
            <w:tcW w:w="6237" w:type="dxa"/>
          </w:tcPr>
          <w:p w:rsidR="00853737" w:rsidRPr="00DB7738" w:rsidRDefault="00853737" w:rsidP="00157FF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городу, за 1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городу, за 2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городу, за 4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кольцу, за 1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кольцу, за 2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853737" w:rsidRDefault="00853737" w:rsidP="00157FF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73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доступа к ВОЛС по кольцу, за 4 волокно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853737" w:rsidRPr="00DB7738" w:rsidTr="00157FF5">
        <w:tc>
          <w:tcPr>
            <w:tcW w:w="6237" w:type="dxa"/>
          </w:tcPr>
          <w:p w:rsidR="00853737" w:rsidRPr="00DB7738" w:rsidRDefault="00853737" w:rsidP="00157FF5">
            <w:pPr>
              <w:tabs>
                <w:tab w:val="left" w:pos="1628"/>
              </w:tabs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ВОЛС</w:t>
            </w:r>
          </w:p>
        </w:tc>
        <w:tc>
          <w:tcPr>
            <w:tcW w:w="3108" w:type="dxa"/>
          </w:tcPr>
          <w:p w:rsidR="00853737" w:rsidRPr="00DB7738" w:rsidRDefault="00853737" w:rsidP="00157FF5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spellEnd"/>
            <w:r w:rsidRPr="00D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38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</w:p>
        </w:tc>
      </w:tr>
    </w:tbl>
    <w:p w:rsidR="00853737" w:rsidRPr="00DB7738" w:rsidRDefault="00853737" w:rsidP="00853737">
      <w:pPr>
        <w:pStyle w:val="Style5"/>
        <w:widowControl/>
        <w:tabs>
          <w:tab w:val="left" w:pos="1416"/>
        </w:tabs>
        <w:ind w:left="-142" w:firstLine="568"/>
        <w:contextualSpacing/>
        <w:rPr>
          <w:rStyle w:val="FontStyle12"/>
        </w:rPr>
      </w:pP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B7738">
        <w:rPr>
          <w:rStyle w:val="FontStyle12"/>
        </w:rPr>
        <w:t xml:space="preserve">Предоставление услуг подразумевает передачу во временное возмездное пользование волоконно-оптических линий связи на базе действующей инфраструктуры оператора и не </w:t>
      </w:r>
      <w:r w:rsidRPr="00317234">
        <w:rPr>
          <w:rStyle w:val="FontStyle12"/>
        </w:rPr>
        <w:t xml:space="preserve">предполагает возможности стройки. 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 xml:space="preserve">Все необходимые настройки линии, в частности настройки передачи данных, выполняются клиентом самостоятельно. 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 xml:space="preserve"> Услуга предоставляется юридическим лицам и индивидуальным предпринимателям.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За подключение каждой из основных услуг взимается оплата в соответ</w:t>
      </w:r>
      <w:r>
        <w:rPr>
          <w:rStyle w:val="FontStyle12"/>
        </w:rPr>
        <w:t>ствии с действующими тарифами компании.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Возможность подключения тарифного плана определяются исходя из технической возможности.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Компания обязуется выполнять все необходимые работы по обслуживанию и ремонту ВОЛС.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Протяженность линий, предоставляемых во временное возмездное пользование, не превышает 100 км.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 xml:space="preserve">Сменить действующую услугу абонента можно только на ту, по условиям которой в пользование предоставляется меньшее количество волоконно-оптических линий. При необходимости получения большего количества добавляется новая услуга или услуги. 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Оплата за предоставляемые компанией услуги взимается в начале месяца, следующего за отчетным</w:t>
      </w:r>
      <w:r>
        <w:rPr>
          <w:rStyle w:val="FontStyle12"/>
        </w:rPr>
        <w:t>.</w:t>
      </w:r>
    </w:p>
    <w:p w:rsidR="00853737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</w:rPr>
        <w:t>Стоимость тарифных планов и разовых услуг регламентируется действ</w:t>
      </w:r>
      <w:r>
        <w:rPr>
          <w:rStyle w:val="FontStyle12"/>
        </w:rPr>
        <w:t xml:space="preserve">ующими тарифами </w:t>
      </w:r>
      <w:r w:rsidRPr="00DC37E2">
        <w:rPr>
          <w:rStyle w:val="FontStyle12"/>
        </w:rPr>
        <w:t>компании.</w:t>
      </w:r>
    </w:p>
    <w:p w:rsidR="00853737" w:rsidRPr="00DC37E2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  <w:rFonts w:eastAsiaTheme="minorEastAsia"/>
        </w:rPr>
        <w:t xml:space="preserve">В случае </w:t>
      </w:r>
      <w:bookmarkStart w:id="0" w:name="_GoBack"/>
      <w:r w:rsidRPr="00DC37E2">
        <w:rPr>
          <w:rStyle w:val="FontStyle12"/>
          <w:rFonts w:eastAsiaTheme="minorEastAsia"/>
        </w:rPr>
        <w:t xml:space="preserve">несвоевременной </w:t>
      </w:r>
      <w:bookmarkEnd w:id="0"/>
      <w:r w:rsidRPr="00DC37E2">
        <w:rPr>
          <w:rStyle w:val="FontStyle12"/>
          <w:rFonts w:eastAsiaTheme="minorEastAsia"/>
        </w:rPr>
        <w:t>оплаты услуги Компания оставляет за собой право в одностороннем порядке приостановить доступ к услуге до полного погашения задолженности.</w:t>
      </w:r>
    </w:p>
    <w:p w:rsidR="00853737" w:rsidRPr="00DC37E2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  <w:rFonts w:eastAsiaTheme="minorEastAsia"/>
        </w:rPr>
        <w:t>Во всем ином, не урегулированном настоящим Порядком, клиент и компания руководствуются положениями договора, заключенного между клиентом и компанией.</w:t>
      </w:r>
    </w:p>
    <w:p w:rsidR="00853737" w:rsidRPr="00DC37E2" w:rsidRDefault="00853737" w:rsidP="00853737">
      <w:pPr>
        <w:pStyle w:val="Style5"/>
        <w:widowControl/>
        <w:numPr>
          <w:ilvl w:val="0"/>
          <w:numId w:val="1"/>
        </w:numPr>
        <w:contextualSpacing/>
        <w:jc w:val="both"/>
        <w:rPr>
          <w:rStyle w:val="FontStyle12"/>
        </w:rPr>
      </w:pPr>
      <w:r w:rsidRPr="00DC37E2">
        <w:rPr>
          <w:rStyle w:val="FontStyle12"/>
          <w:rFonts w:eastAsiaTheme="minorEastAsia"/>
        </w:rPr>
        <w:lastRenderedPageBreak/>
        <w:t>Компания вправе в одностороннем порядке изменять настоящий Порядок, публикуя изменения на официальном сайте.</w:t>
      </w:r>
    </w:p>
    <w:p w:rsidR="00853737" w:rsidRDefault="00853737"/>
    <w:sectPr w:rsidR="0085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4B"/>
    <w:multiLevelType w:val="hybridMultilevel"/>
    <w:tmpl w:val="E42A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7"/>
    <w:rsid w:val="00131A0C"/>
    <w:rsid w:val="008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808"/>
  <w15:chartTrackingRefBased/>
  <w15:docId w15:val="{605FBE3C-38AF-4075-BB56-579F95D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37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737"/>
    <w:pPr>
      <w:ind w:left="708"/>
    </w:pPr>
  </w:style>
  <w:style w:type="paragraph" w:customStyle="1" w:styleId="Style5">
    <w:name w:val="Style5"/>
    <w:basedOn w:val="a"/>
    <w:uiPriority w:val="99"/>
    <w:rsid w:val="008537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5373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853737"/>
    <w:rPr>
      <w:rFonts w:ascii="Myriad Pro" w:eastAsia="Times New Roman" w:hAnsi="Myriad Pro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8537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Shaurko</dc:creator>
  <cp:keywords/>
  <dc:description/>
  <cp:lastModifiedBy>Tatiana Shaurko</cp:lastModifiedBy>
  <cp:revision>1</cp:revision>
  <dcterms:created xsi:type="dcterms:W3CDTF">2021-10-14T13:45:00Z</dcterms:created>
  <dcterms:modified xsi:type="dcterms:W3CDTF">2021-10-14T13:46:00Z</dcterms:modified>
</cp:coreProperties>
</file>